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4A3" w:rsidRDefault="00CD7412">
      <w:pPr>
        <w:spacing w:beforeLines="100" w:before="312" w:afterLines="50" w:after="156" w:line="360" w:lineRule="auto"/>
        <w:ind w:leftChars="-67" w:left="-140" w:hanging="1"/>
        <w:jc w:val="center"/>
        <w:rPr>
          <w:rFonts w:ascii="宋体" w:hAnsi="宋体"/>
          <w:b/>
          <w:sz w:val="32"/>
          <w:szCs w:val="36"/>
        </w:rPr>
        <w:sectPr w:rsidR="00E814A3">
          <w:headerReference w:type="default" r:id="rId7"/>
          <w:pgSz w:w="11906" w:h="16838"/>
          <w:pgMar w:top="1440" w:right="1466" w:bottom="1440" w:left="1276" w:header="851" w:footer="992" w:gutter="0"/>
          <w:cols w:space="425"/>
          <w:docGrid w:type="lines" w:linePitch="312"/>
        </w:sectPr>
      </w:pPr>
      <w:r>
        <w:rPr>
          <w:rFonts w:ascii="宋体" w:hAnsi="宋体"/>
          <w:b/>
          <w:sz w:val="32"/>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630pt">
            <v:imagedata r:id="rId8" o:title="评估与诊断"/>
          </v:shape>
        </w:pict>
      </w:r>
    </w:p>
    <w:p w:rsidR="00E814A3" w:rsidRDefault="00C1509F">
      <w:pPr>
        <w:spacing w:beforeLines="100" w:before="312" w:afterLines="50" w:after="156" w:line="360" w:lineRule="auto"/>
        <w:ind w:leftChars="-67" w:left="-140" w:hanging="1"/>
        <w:jc w:val="center"/>
        <w:rPr>
          <w:rFonts w:ascii="宋体"/>
          <w:b/>
          <w:sz w:val="32"/>
          <w:szCs w:val="36"/>
        </w:rPr>
      </w:pPr>
      <w:r>
        <w:rPr>
          <w:rFonts w:ascii="宋体" w:hAnsi="宋体" w:hint="eastAsia"/>
          <w:b/>
          <w:sz w:val="32"/>
          <w:szCs w:val="36"/>
        </w:rPr>
        <w:lastRenderedPageBreak/>
        <w:t>两化融合评估与诊断控制程序</w:t>
      </w:r>
    </w:p>
    <w:p w:rsidR="00E814A3" w:rsidRDefault="00C1509F">
      <w:pPr>
        <w:pStyle w:val="2"/>
        <w:rPr>
          <w:rFonts w:ascii="宋体"/>
          <w:sz w:val="24"/>
          <w:szCs w:val="24"/>
        </w:rPr>
      </w:pPr>
      <w:bookmarkStart w:id="0" w:name="_Toc404104076"/>
      <w:r>
        <w:rPr>
          <w:rFonts w:ascii="宋体" w:hAnsi="宋体"/>
          <w:sz w:val="24"/>
          <w:szCs w:val="24"/>
        </w:rPr>
        <w:t>1.</w:t>
      </w:r>
      <w:r>
        <w:rPr>
          <w:rFonts w:ascii="宋体" w:hAnsi="宋体" w:hint="eastAsia"/>
          <w:sz w:val="24"/>
          <w:szCs w:val="24"/>
        </w:rPr>
        <w:t>目的和范围</w:t>
      </w:r>
    </w:p>
    <w:p w:rsidR="00E814A3" w:rsidRDefault="00C1509F">
      <w:pPr>
        <w:spacing w:line="360" w:lineRule="auto"/>
        <w:ind w:leftChars="168" w:left="353" w:firstLineChars="150" w:firstLine="360"/>
        <w:outlineLvl w:val="2"/>
        <w:rPr>
          <w:rFonts w:ascii="宋体"/>
          <w:sz w:val="24"/>
          <w:szCs w:val="24"/>
        </w:rPr>
      </w:pPr>
      <w:r>
        <w:rPr>
          <w:rFonts w:ascii="宋体" w:hAnsi="宋体" w:hint="eastAsia"/>
          <w:sz w:val="24"/>
          <w:szCs w:val="24"/>
        </w:rPr>
        <w:t>为规范公司两化融合评估工作，科学识别公司在两化融合工作实施过程中存在的问题，明确公司两化融合下阶段工作重点和发展方向，特制定本程序。本程序适用于公司两化融合现状水平评估与管理体系评估。</w:t>
      </w:r>
    </w:p>
    <w:p w:rsidR="00E814A3" w:rsidRDefault="00C1509F">
      <w:pPr>
        <w:pStyle w:val="2"/>
        <w:rPr>
          <w:rFonts w:ascii="宋体"/>
          <w:sz w:val="24"/>
          <w:szCs w:val="24"/>
        </w:rPr>
      </w:pPr>
      <w:r>
        <w:rPr>
          <w:rFonts w:ascii="宋体" w:hAnsi="宋体"/>
          <w:sz w:val="24"/>
          <w:szCs w:val="24"/>
        </w:rPr>
        <w:t>2.</w:t>
      </w:r>
      <w:r>
        <w:rPr>
          <w:rFonts w:ascii="宋体" w:hAnsi="宋体" w:hint="eastAsia"/>
          <w:sz w:val="24"/>
          <w:szCs w:val="24"/>
        </w:rPr>
        <w:t>职责</w:t>
      </w:r>
    </w:p>
    <w:p w:rsidR="00E814A3" w:rsidRDefault="00C1509F">
      <w:pPr>
        <w:spacing w:line="360" w:lineRule="auto"/>
        <w:ind w:leftChars="200" w:left="420"/>
        <w:rPr>
          <w:rFonts w:ascii="宋体"/>
          <w:sz w:val="24"/>
          <w:szCs w:val="24"/>
        </w:rPr>
      </w:pPr>
      <w:r>
        <w:rPr>
          <w:rFonts w:ascii="宋体" w:hAnsi="宋体"/>
          <w:sz w:val="24"/>
          <w:szCs w:val="24"/>
        </w:rPr>
        <w:t>2.1</w:t>
      </w:r>
      <w:r>
        <w:rPr>
          <w:rFonts w:ascii="宋体" w:hAnsi="宋体" w:hint="eastAsia"/>
          <w:sz w:val="24"/>
          <w:szCs w:val="24"/>
        </w:rPr>
        <w:t>管理者代表负责审核两化融合相关评估报告，并就评估结果向董事长汇报。</w:t>
      </w:r>
    </w:p>
    <w:p w:rsidR="00E814A3" w:rsidRDefault="00C1509F">
      <w:pPr>
        <w:spacing w:line="360" w:lineRule="auto"/>
        <w:ind w:leftChars="200" w:left="900" w:hangingChars="200" w:hanging="480"/>
        <w:rPr>
          <w:rFonts w:ascii="宋体"/>
          <w:sz w:val="24"/>
          <w:szCs w:val="24"/>
        </w:rPr>
      </w:pPr>
      <w:r>
        <w:rPr>
          <w:rFonts w:ascii="宋体" w:hAnsi="宋体"/>
          <w:sz w:val="24"/>
          <w:szCs w:val="24"/>
        </w:rPr>
        <w:t>2.2</w:t>
      </w:r>
      <w:r>
        <w:rPr>
          <w:rFonts w:ascii="宋体" w:hAnsi="宋体" w:hint="eastAsia"/>
          <w:sz w:val="24"/>
          <w:szCs w:val="24"/>
        </w:rPr>
        <w:t>信息部负责策划两化融合评估方案、整理评估结果、编写评估报告并向管理者代表进行汇报；负责组织两化融合评估工作，负责具体的工作安排与协调工作。</w:t>
      </w:r>
    </w:p>
    <w:p w:rsidR="00E814A3" w:rsidRDefault="00C1509F">
      <w:pPr>
        <w:spacing w:line="360" w:lineRule="auto"/>
        <w:ind w:leftChars="200" w:left="900" w:hangingChars="200" w:hanging="480"/>
        <w:rPr>
          <w:rFonts w:ascii="宋体"/>
          <w:sz w:val="24"/>
          <w:szCs w:val="24"/>
        </w:rPr>
      </w:pPr>
      <w:r>
        <w:rPr>
          <w:rFonts w:ascii="宋体" w:hAnsi="宋体"/>
          <w:sz w:val="24"/>
          <w:szCs w:val="24"/>
        </w:rPr>
        <w:t>2.3</w:t>
      </w:r>
      <w:r>
        <w:rPr>
          <w:rFonts w:ascii="宋体" w:hAnsi="宋体" w:hint="eastAsia"/>
          <w:sz w:val="24"/>
          <w:szCs w:val="24"/>
        </w:rPr>
        <w:t>公司各职能部门、下属经营单位应积极配合两化融合评估工作的开展，并提供评估工作所需材料。</w:t>
      </w:r>
    </w:p>
    <w:bookmarkEnd w:id="0"/>
    <w:p w:rsidR="00E814A3" w:rsidRDefault="00C1509F">
      <w:pPr>
        <w:pStyle w:val="2"/>
        <w:rPr>
          <w:rFonts w:ascii="宋体"/>
          <w:sz w:val="24"/>
          <w:szCs w:val="24"/>
        </w:rPr>
      </w:pPr>
      <w:r>
        <w:rPr>
          <w:rFonts w:ascii="宋体" w:hAnsi="宋体"/>
          <w:sz w:val="24"/>
          <w:szCs w:val="24"/>
        </w:rPr>
        <w:t>3.</w:t>
      </w:r>
      <w:r>
        <w:rPr>
          <w:rFonts w:ascii="宋体" w:hAnsi="宋体" w:hint="eastAsia"/>
          <w:sz w:val="24"/>
          <w:szCs w:val="24"/>
        </w:rPr>
        <w:t>两化融合水平评估</w:t>
      </w:r>
    </w:p>
    <w:p w:rsidR="00E814A3" w:rsidRDefault="00C1509F">
      <w:pPr>
        <w:spacing w:line="360" w:lineRule="auto"/>
        <w:ind w:leftChars="200" w:left="900" w:hangingChars="200" w:hanging="480"/>
        <w:rPr>
          <w:rFonts w:ascii="宋体"/>
          <w:sz w:val="24"/>
          <w:szCs w:val="24"/>
        </w:rPr>
      </w:pPr>
      <w:r>
        <w:rPr>
          <w:rFonts w:ascii="宋体" w:hAnsi="宋体"/>
          <w:sz w:val="24"/>
          <w:szCs w:val="24"/>
        </w:rPr>
        <w:t xml:space="preserve">3.1 </w:t>
      </w:r>
      <w:r>
        <w:rPr>
          <w:rFonts w:ascii="宋体" w:hAnsi="宋体" w:hint="eastAsia"/>
          <w:sz w:val="24"/>
          <w:szCs w:val="24"/>
        </w:rPr>
        <w:t>评估指标体系设计。基于《工业企业信息化和工业化融合评估规范》的要求，构建公司两化融合现状评估指标体系，所构建指标体系务必讲求科学性、实效性、可操作性、可扩展性。</w:t>
      </w:r>
    </w:p>
    <w:p w:rsidR="00E814A3" w:rsidRDefault="00C1509F">
      <w:pPr>
        <w:spacing w:line="360" w:lineRule="auto"/>
        <w:ind w:leftChars="200" w:left="900" w:hangingChars="200" w:hanging="480"/>
        <w:rPr>
          <w:rFonts w:ascii="宋体"/>
          <w:sz w:val="24"/>
          <w:szCs w:val="24"/>
        </w:rPr>
      </w:pPr>
      <w:bookmarkStart w:id="1" w:name="_Toc404104077"/>
      <w:r>
        <w:rPr>
          <w:rFonts w:ascii="宋体" w:hAnsi="宋体"/>
          <w:sz w:val="24"/>
          <w:szCs w:val="24"/>
        </w:rPr>
        <w:t>3.2</w:t>
      </w:r>
      <w:r>
        <w:rPr>
          <w:rFonts w:ascii="宋体" w:hAnsi="宋体" w:hint="eastAsia"/>
          <w:sz w:val="24"/>
          <w:szCs w:val="24"/>
        </w:rPr>
        <w:t>指标选取原则</w:t>
      </w:r>
      <w:bookmarkEnd w:id="1"/>
      <w:r>
        <w:rPr>
          <w:rFonts w:ascii="宋体" w:hAnsi="宋体" w:hint="eastAsia"/>
          <w:sz w:val="24"/>
          <w:szCs w:val="24"/>
        </w:rPr>
        <w:t>基于《工业企业信息化和工业化融合评估规范》中的一、二级评估内容保持一致，三级指标参：所设计的指标体系至少包括三级指标，其中一、二级评估指标须与《工业企业信息化和工业化融合评估规范》并结合通信制造行业特点设计。</w:t>
      </w:r>
    </w:p>
    <w:p w:rsidR="00E814A3" w:rsidRDefault="00C1509F">
      <w:pPr>
        <w:spacing w:line="360" w:lineRule="auto"/>
        <w:ind w:leftChars="200" w:left="420"/>
        <w:rPr>
          <w:rFonts w:ascii="宋体"/>
          <w:sz w:val="24"/>
          <w:szCs w:val="24"/>
        </w:rPr>
      </w:pPr>
      <w:r>
        <w:rPr>
          <w:rFonts w:ascii="宋体" w:hAnsi="宋体"/>
          <w:sz w:val="24"/>
          <w:szCs w:val="24"/>
        </w:rPr>
        <w:t>3.3</w:t>
      </w:r>
      <w:r>
        <w:rPr>
          <w:rFonts w:ascii="宋体" w:hAnsi="宋体" w:hint="eastAsia"/>
          <w:sz w:val="24"/>
          <w:szCs w:val="24"/>
        </w:rPr>
        <w:t>评估指标体系要避免重技术轻管理的导向，遵循管理与技术并重的原则，所</w:t>
      </w:r>
    </w:p>
    <w:p w:rsidR="00E814A3" w:rsidRDefault="00C1509F">
      <w:pPr>
        <w:spacing w:line="360" w:lineRule="auto"/>
        <w:ind w:leftChars="428" w:left="899"/>
        <w:rPr>
          <w:rFonts w:ascii="宋体" w:hAnsi="宋体"/>
          <w:sz w:val="24"/>
          <w:szCs w:val="24"/>
        </w:rPr>
      </w:pPr>
      <w:r>
        <w:rPr>
          <w:rFonts w:ascii="宋体" w:hAnsi="宋体" w:hint="eastAsia"/>
          <w:sz w:val="24"/>
          <w:szCs w:val="24"/>
        </w:rPr>
        <w:t>设计的指标确保能够全面反映公司可能存在的问题，具体指标体系设计可参考</w:t>
      </w:r>
    </w:p>
    <w:p w:rsidR="00E814A3" w:rsidRDefault="00C1509F">
      <w:pPr>
        <w:spacing w:line="360" w:lineRule="auto"/>
        <w:ind w:leftChars="428" w:left="899"/>
        <w:rPr>
          <w:rFonts w:ascii="宋体"/>
          <w:sz w:val="24"/>
          <w:szCs w:val="24"/>
        </w:rPr>
      </w:pPr>
      <w:r>
        <w:rPr>
          <w:rFonts w:ascii="宋体" w:hAnsi="宋体" w:hint="eastAsia"/>
          <w:sz w:val="24"/>
          <w:szCs w:val="24"/>
        </w:rPr>
        <w:t>《两化融合现状评估指标体系模板》制定，为保证指标的客观性必要时可引入外部咨询服务机构协助开展评估工作。</w:t>
      </w:r>
    </w:p>
    <w:p w:rsidR="00E814A3" w:rsidRDefault="00C1509F">
      <w:pPr>
        <w:spacing w:line="360" w:lineRule="auto"/>
        <w:ind w:leftChars="200" w:left="900" w:hangingChars="200" w:hanging="480"/>
        <w:rPr>
          <w:rFonts w:ascii="宋体"/>
          <w:sz w:val="24"/>
          <w:szCs w:val="24"/>
        </w:rPr>
      </w:pPr>
      <w:r>
        <w:rPr>
          <w:rFonts w:ascii="宋体" w:hAnsi="宋体"/>
          <w:sz w:val="24"/>
          <w:szCs w:val="24"/>
        </w:rPr>
        <w:lastRenderedPageBreak/>
        <w:t>3.4</w:t>
      </w:r>
      <w:r>
        <w:rPr>
          <w:rFonts w:ascii="宋体" w:hAnsi="宋体" w:hint="eastAsia"/>
          <w:sz w:val="24"/>
          <w:szCs w:val="24"/>
        </w:rPr>
        <w:t>基于评估指标体系内容，公司可根据实际需要，考虑是否设计两化融合水平评估调查问卷。问卷采集项的设计需遵循定量与定性结合的原则，所设计采集项应能够全面反映所考察指标的内容，并明确问卷评分标准，具体调查问卷设计可参考《两化融合现状评估调查问卷模板》。</w:t>
      </w:r>
    </w:p>
    <w:p w:rsidR="00E814A3" w:rsidRDefault="00C1509F">
      <w:pPr>
        <w:spacing w:line="360" w:lineRule="auto"/>
        <w:ind w:leftChars="200" w:left="900" w:hangingChars="200" w:hanging="480"/>
        <w:rPr>
          <w:rFonts w:ascii="宋体"/>
          <w:sz w:val="24"/>
          <w:szCs w:val="24"/>
        </w:rPr>
      </w:pPr>
      <w:r>
        <w:rPr>
          <w:rFonts w:ascii="宋体" w:hAnsi="宋体"/>
          <w:sz w:val="24"/>
          <w:szCs w:val="24"/>
        </w:rPr>
        <w:t>3.5</w:t>
      </w:r>
      <w:r>
        <w:rPr>
          <w:rFonts w:ascii="宋体" w:hAnsi="宋体" w:hint="eastAsia"/>
          <w:sz w:val="24"/>
          <w:szCs w:val="24"/>
        </w:rPr>
        <w:t>当公司计划采取问卷调查时，由信息部负责组织调查问卷的发放、收集与整理工作。依据调查结果输出评估报告，评估报告内容需明确公司当前两化融合所处阶段，总结两化融合工作取得的成果，并指出当前两化融合工作存在的问题以及未来的建设方向，评估报告需向公司管理者代表汇报。</w:t>
      </w:r>
    </w:p>
    <w:p w:rsidR="00E814A3" w:rsidRDefault="00C1509F">
      <w:pPr>
        <w:spacing w:line="360" w:lineRule="auto"/>
        <w:ind w:leftChars="200" w:left="900" w:hangingChars="200" w:hanging="480"/>
        <w:rPr>
          <w:rFonts w:ascii="宋体"/>
          <w:sz w:val="24"/>
          <w:szCs w:val="24"/>
        </w:rPr>
      </w:pPr>
      <w:r>
        <w:rPr>
          <w:rFonts w:ascii="宋体" w:hAnsi="宋体"/>
          <w:sz w:val="24"/>
          <w:szCs w:val="24"/>
        </w:rPr>
        <w:t>3.6</w:t>
      </w:r>
      <w:r>
        <w:rPr>
          <w:rFonts w:ascii="宋体" w:hAnsi="宋体" w:hint="eastAsia"/>
          <w:sz w:val="24"/>
          <w:szCs w:val="24"/>
        </w:rPr>
        <w:t>公司应建立两化融合水平年度评估制度，年度评估工作所产生的记录均按照《两化融合记录控制程序》进行记录、保存。</w:t>
      </w:r>
    </w:p>
    <w:p w:rsidR="00E814A3" w:rsidRDefault="00C1509F">
      <w:pPr>
        <w:pStyle w:val="2"/>
        <w:rPr>
          <w:rFonts w:ascii="宋体"/>
          <w:sz w:val="24"/>
          <w:szCs w:val="24"/>
        </w:rPr>
      </w:pPr>
      <w:r>
        <w:rPr>
          <w:rFonts w:ascii="宋体" w:hAnsi="宋体"/>
          <w:sz w:val="24"/>
          <w:szCs w:val="24"/>
        </w:rPr>
        <w:t>4.</w:t>
      </w:r>
      <w:r>
        <w:rPr>
          <w:rFonts w:ascii="宋体" w:hAnsi="宋体" w:hint="eastAsia"/>
          <w:sz w:val="24"/>
          <w:szCs w:val="24"/>
        </w:rPr>
        <w:t>两化融合管理体系评估</w:t>
      </w:r>
    </w:p>
    <w:p w:rsidR="00E814A3" w:rsidRDefault="00C1509F">
      <w:pPr>
        <w:spacing w:line="360" w:lineRule="auto"/>
        <w:ind w:leftChars="200" w:left="420"/>
        <w:rPr>
          <w:rFonts w:ascii="宋体"/>
          <w:sz w:val="24"/>
          <w:szCs w:val="24"/>
        </w:rPr>
      </w:pPr>
      <w:r>
        <w:rPr>
          <w:rFonts w:ascii="宋体" w:hAnsi="宋体"/>
          <w:sz w:val="24"/>
          <w:szCs w:val="24"/>
        </w:rPr>
        <w:t>4.1</w:t>
      </w:r>
      <w:r>
        <w:rPr>
          <w:rFonts w:ascii="宋体" w:hAnsi="宋体" w:hint="eastAsia"/>
          <w:sz w:val="24"/>
          <w:szCs w:val="24"/>
        </w:rPr>
        <w:t>管理体系评估包括完整性评估与运行效果评估。</w:t>
      </w:r>
    </w:p>
    <w:p w:rsidR="00E814A3" w:rsidRDefault="00C1509F">
      <w:pPr>
        <w:spacing w:line="360" w:lineRule="auto"/>
        <w:ind w:leftChars="200" w:left="900" w:hangingChars="200" w:hanging="480"/>
        <w:rPr>
          <w:rFonts w:ascii="宋体"/>
          <w:sz w:val="24"/>
          <w:szCs w:val="24"/>
        </w:rPr>
      </w:pPr>
      <w:r>
        <w:rPr>
          <w:rFonts w:ascii="宋体" w:hAnsi="宋体"/>
          <w:sz w:val="24"/>
          <w:szCs w:val="24"/>
        </w:rPr>
        <w:t>4.2</w:t>
      </w:r>
      <w:r>
        <w:rPr>
          <w:rFonts w:ascii="宋体" w:hAnsi="宋体" w:hint="eastAsia"/>
          <w:sz w:val="24"/>
          <w:szCs w:val="24"/>
        </w:rPr>
        <w:t>公司信息部根据《信息化和工业化融合管理体系</w:t>
      </w:r>
      <w:r>
        <w:rPr>
          <w:rFonts w:ascii="宋体" w:hAnsi="宋体"/>
          <w:sz w:val="24"/>
          <w:szCs w:val="24"/>
        </w:rPr>
        <w:t xml:space="preserve"> </w:t>
      </w:r>
      <w:r>
        <w:rPr>
          <w:rFonts w:ascii="宋体" w:hAnsi="宋体" w:hint="eastAsia"/>
          <w:sz w:val="24"/>
          <w:szCs w:val="24"/>
        </w:rPr>
        <w:t>要求》（以下简称《要求》）制定管理体系完整性评估方案，评估已建立的管理体系是否覆盖《要求》的全部内容，具体评估内容可参考《两化融合管理体系评估报告模板》，输出体系完整性评估报告向管理者代表汇报。</w:t>
      </w:r>
    </w:p>
    <w:p w:rsidR="00E814A3" w:rsidRDefault="00C1509F">
      <w:pPr>
        <w:spacing w:line="360" w:lineRule="auto"/>
        <w:ind w:leftChars="200" w:left="900" w:hangingChars="200" w:hanging="480"/>
        <w:rPr>
          <w:rFonts w:ascii="宋体"/>
          <w:sz w:val="24"/>
          <w:szCs w:val="24"/>
        </w:rPr>
      </w:pPr>
      <w:r>
        <w:rPr>
          <w:rFonts w:ascii="宋体" w:hAnsi="宋体"/>
          <w:sz w:val="24"/>
          <w:szCs w:val="24"/>
        </w:rPr>
        <w:t>4.3</w:t>
      </w:r>
      <w:r>
        <w:rPr>
          <w:rFonts w:ascii="宋体" w:hAnsi="宋体" w:hint="eastAsia"/>
          <w:sz w:val="24"/>
          <w:szCs w:val="24"/>
        </w:rPr>
        <w:t>公司信息部基于体系完整性评估报告整理公司当前所缺失的文件，并组织人员进行体系文件的补充编写，参照《两化融合文件控制程序》要求完成文件的审批与下发执行。</w:t>
      </w:r>
    </w:p>
    <w:p w:rsidR="00E814A3" w:rsidRDefault="00C1509F">
      <w:pPr>
        <w:spacing w:line="360" w:lineRule="auto"/>
        <w:ind w:leftChars="200" w:left="900" w:hangingChars="200" w:hanging="480"/>
        <w:rPr>
          <w:rFonts w:ascii="宋体"/>
          <w:sz w:val="24"/>
          <w:szCs w:val="24"/>
        </w:rPr>
      </w:pPr>
      <w:r>
        <w:rPr>
          <w:rFonts w:ascii="宋体" w:hAnsi="宋体"/>
          <w:sz w:val="24"/>
          <w:szCs w:val="24"/>
        </w:rPr>
        <w:t>4.4</w:t>
      </w:r>
      <w:r>
        <w:rPr>
          <w:rFonts w:ascii="宋体" w:hAnsi="宋体" w:hint="eastAsia"/>
          <w:sz w:val="24"/>
          <w:szCs w:val="24"/>
        </w:rPr>
        <w:t>公司信息部应加强管理体系运行过程的监督与控制，例行组织对体系运行效果的评估，及时收集公司各部门、二级单位反馈的体系运行中存在的问题。</w:t>
      </w:r>
    </w:p>
    <w:p w:rsidR="00E814A3" w:rsidRDefault="00C1509F">
      <w:pPr>
        <w:spacing w:line="360" w:lineRule="auto"/>
        <w:ind w:leftChars="200" w:left="900" w:hangingChars="200" w:hanging="480"/>
        <w:rPr>
          <w:rFonts w:ascii="宋体"/>
          <w:sz w:val="24"/>
          <w:szCs w:val="24"/>
        </w:rPr>
      </w:pPr>
      <w:r>
        <w:rPr>
          <w:rFonts w:ascii="宋体" w:hAnsi="宋体"/>
          <w:sz w:val="24"/>
          <w:szCs w:val="24"/>
        </w:rPr>
        <w:t>4.5</w:t>
      </w:r>
      <w:r>
        <w:rPr>
          <w:rFonts w:ascii="宋体" w:hAnsi="宋体" w:hint="eastAsia"/>
          <w:sz w:val="24"/>
          <w:szCs w:val="24"/>
        </w:rPr>
        <w:t>公司信息部负责组织体系运行问题的例行评审，对体系文件存在的问题进行修订，对运行过程中执行层出现的偏差予以纠正。</w:t>
      </w:r>
    </w:p>
    <w:p w:rsidR="00E814A3" w:rsidRDefault="00C1509F">
      <w:pPr>
        <w:spacing w:line="360" w:lineRule="auto"/>
        <w:ind w:leftChars="200" w:left="1020" w:hangingChars="250" w:hanging="600"/>
        <w:rPr>
          <w:rFonts w:ascii="宋体"/>
          <w:sz w:val="24"/>
          <w:szCs w:val="24"/>
        </w:rPr>
      </w:pPr>
      <w:r>
        <w:rPr>
          <w:rFonts w:ascii="宋体" w:hAnsi="宋体"/>
          <w:sz w:val="24"/>
          <w:szCs w:val="24"/>
        </w:rPr>
        <w:t>4.6</w:t>
      </w:r>
      <w:r>
        <w:rPr>
          <w:rFonts w:ascii="宋体" w:hAnsi="宋体" w:hint="eastAsia"/>
          <w:sz w:val="24"/>
          <w:szCs w:val="24"/>
        </w:rPr>
        <w:t>上述评估过程所产生的记录均按照《两化融合记录控制程序》进行记录、保存。</w:t>
      </w:r>
    </w:p>
    <w:p w:rsidR="00E814A3" w:rsidRDefault="00C1509F">
      <w:pPr>
        <w:pStyle w:val="2"/>
        <w:rPr>
          <w:rFonts w:ascii="宋体"/>
          <w:sz w:val="24"/>
          <w:szCs w:val="24"/>
        </w:rPr>
      </w:pPr>
      <w:r>
        <w:rPr>
          <w:rFonts w:ascii="宋体" w:hAnsi="宋体"/>
          <w:sz w:val="24"/>
          <w:szCs w:val="24"/>
        </w:rPr>
        <w:lastRenderedPageBreak/>
        <w:t>5.</w:t>
      </w:r>
      <w:r w:rsidR="0044780C">
        <w:rPr>
          <w:rFonts w:ascii="宋体" w:hAnsi="宋体" w:hint="eastAsia"/>
          <w:sz w:val="24"/>
          <w:szCs w:val="24"/>
        </w:rPr>
        <w:t>相关文件</w:t>
      </w:r>
    </w:p>
    <w:p w:rsidR="00E814A3" w:rsidRDefault="00C1509F">
      <w:pPr>
        <w:spacing w:line="360" w:lineRule="auto"/>
        <w:ind w:firstLineChars="150" w:firstLine="360"/>
        <w:rPr>
          <w:rFonts w:ascii="宋体"/>
          <w:sz w:val="24"/>
          <w:szCs w:val="24"/>
        </w:rPr>
      </w:pPr>
      <w:r>
        <w:rPr>
          <w:rFonts w:ascii="宋体" w:hAnsi="宋体"/>
          <w:sz w:val="24"/>
          <w:szCs w:val="24"/>
        </w:rPr>
        <w:t xml:space="preserve">5.1  </w:t>
      </w:r>
      <w:r>
        <w:rPr>
          <w:rFonts w:ascii="宋体" w:hAnsi="宋体" w:hint="eastAsia"/>
          <w:sz w:val="24"/>
          <w:szCs w:val="24"/>
        </w:rPr>
        <w:t>VICUTU</w:t>
      </w:r>
      <w:r w:rsidR="00BA05E8">
        <w:rPr>
          <w:rFonts w:ascii="宋体" w:hAnsi="宋体"/>
          <w:sz w:val="24"/>
          <w:szCs w:val="24"/>
        </w:rPr>
        <w:t xml:space="preserve">-TI-443-01 </w:t>
      </w:r>
      <w:r>
        <w:rPr>
          <w:rFonts w:ascii="宋体" w:hAnsi="宋体" w:hint="eastAsia"/>
          <w:sz w:val="24"/>
          <w:szCs w:val="24"/>
        </w:rPr>
        <w:t>两化融合文件控制程序</w:t>
      </w:r>
    </w:p>
    <w:p w:rsidR="00E814A3" w:rsidRDefault="00C1509F">
      <w:pPr>
        <w:spacing w:line="360" w:lineRule="auto"/>
        <w:ind w:firstLineChars="150" w:firstLine="360"/>
        <w:rPr>
          <w:rFonts w:ascii="宋体" w:hAnsi="宋体"/>
          <w:sz w:val="24"/>
          <w:szCs w:val="24"/>
        </w:rPr>
      </w:pPr>
      <w:r>
        <w:rPr>
          <w:rFonts w:ascii="宋体" w:hAnsi="宋体"/>
          <w:sz w:val="24"/>
          <w:szCs w:val="24"/>
        </w:rPr>
        <w:t xml:space="preserve">5.2  </w:t>
      </w:r>
      <w:r>
        <w:rPr>
          <w:rFonts w:ascii="宋体" w:hAnsi="宋体" w:hint="eastAsia"/>
          <w:sz w:val="24"/>
          <w:szCs w:val="24"/>
        </w:rPr>
        <w:t>VICUTU</w:t>
      </w:r>
      <w:r w:rsidR="00BA05E8">
        <w:rPr>
          <w:rFonts w:ascii="宋体" w:hAnsi="宋体"/>
          <w:sz w:val="24"/>
          <w:szCs w:val="24"/>
        </w:rPr>
        <w:t xml:space="preserve">-TI-443-02 </w:t>
      </w:r>
      <w:r>
        <w:rPr>
          <w:rFonts w:ascii="宋体" w:hAnsi="宋体" w:hint="eastAsia"/>
          <w:sz w:val="24"/>
          <w:szCs w:val="24"/>
        </w:rPr>
        <w:t>两化融合记录控制程序</w:t>
      </w:r>
    </w:p>
    <w:p w:rsidR="00111C39" w:rsidRPr="00111C39" w:rsidRDefault="00111C39" w:rsidP="00111C39">
      <w:pPr>
        <w:pStyle w:val="2"/>
        <w:rPr>
          <w:rFonts w:ascii="宋体" w:hAnsi="宋体" w:hint="eastAsia"/>
          <w:sz w:val="24"/>
          <w:szCs w:val="24"/>
        </w:rPr>
      </w:pPr>
      <w:r>
        <w:rPr>
          <w:rFonts w:ascii="宋体" w:hAnsi="宋体" w:hint="eastAsia"/>
          <w:sz w:val="24"/>
          <w:szCs w:val="24"/>
        </w:rPr>
        <w:t>6.记录表单</w:t>
      </w:r>
    </w:p>
    <w:p w:rsidR="00E814A3" w:rsidRDefault="00111C39">
      <w:pPr>
        <w:spacing w:line="360" w:lineRule="auto"/>
        <w:ind w:firstLineChars="150" w:firstLine="360"/>
        <w:rPr>
          <w:rFonts w:ascii="宋体" w:hAnsi="宋体"/>
          <w:sz w:val="24"/>
          <w:szCs w:val="24"/>
        </w:rPr>
      </w:pPr>
      <w:r>
        <w:rPr>
          <w:rFonts w:ascii="宋体" w:hAnsi="宋体"/>
          <w:sz w:val="24"/>
          <w:szCs w:val="24"/>
        </w:rPr>
        <w:t>6.1</w:t>
      </w:r>
      <w:r w:rsidR="00C1509F">
        <w:rPr>
          <w:rFonts w:ascii="宋体" w:hAnsi="宋体"/>
          <w:sz w:val="24"/>
          <w:szCs w:val="24"/>
        </w:rPr>
        <w:t xml:space="preserve">  </w:t>
      </w:r>
      <w:r w:rsidR="00C1509F">
        <w:rPr>
          <w:rFonts w:ascii="宋体" w:hAnsi="宋体" w:hint="eastAsia"/>
          <w:sz w:val="24"/>
          <w:szCs w:val="24"/>
        </w:rPr>
        <w:t>VICUTU</w:t>
      </w:r>
      <w:r w:rsidR="00C1509F">
        <w:rPr>
          <w:rFonts w:ascii="宋体" w:hAnsi="宋体"/>
          <w:sz w:val="24"/>
          <w:szCs w:val="24"/>
        </w:rPr>
        <w:t xml:space="preserve">-TI-JL-92-01 </w:t>
      </w:r>
      <w:r w:rsidR="00F903BB">
        <w:rPr>
          <w:rFonts w:ascii="宋体" w:hAnsi="宋体" w:hint="eastAsia"/>
          <w:sz w:val="24"/>
          <w:szCs w:val="24"/>
        </w:rPr>
        <w:t>两化融合</w:t>
      </w:r>
      <w:r w:rsidR="00C1509F">
        <w:rPr>
          <w:rFonts w:ascii="宋体" w:hAnsi="宋体" w:hint="eastAsia"/>
          <w:sz w:val="24"/>
          <w:szCs w:val="24"/>
        </w:rPr>
        <w:t>水平评估</w:t>
      </w:r>
      <w:r w:rsidR="00F903BB">
        <w:rPr>
          <w:rFonts w:ascii="宋体" w:hAnsi="宋体" w:hint="eastAsia"/>
          <w:sz w:val="24"/>
          <w:szCs w:val="24"/>
        </w:rPr>
        <w:t>报告</w:t>
      </w:r>
    </w:p>
    <w:p w:rsidR="00025DB1" w:rsidRDefault="00025DB1" w:rsidP="00025DB1">
      <w:pPr>
        <w:spacing w:line="360" w:lineRule="auto"/>
        <w:ind w:firstLineChars="150" w:firstLine="360"/>
        <w:rPr>
          <w:rFonts w:ascii="宋体" w:hAnsi="宋体"/>
          <w:sz w:val="24"/>
          <w:szCs w:val="24"/>
        </w:rPr>
      </w:pPr>
      <w:r>
        <w:rPr>
          <w:rFonts w:ascii="宋体" w:hAnsi="宋体" w:hint="eastAsia"/>
          <w:sz w:val="24"/>
          <w:szCs w:val="24"/>
        </w:rPr>
        <w:t xml:space="preserve">6.2  </w:t>
      </w:r>
      <w:r>
        <w:rPr>
          <w:rFonts w:ascii="宋体" w:hAnsi="宋体" w:hint="eastAsia"/>
          <w:sz w:val="24"/>
          <w:szCs w:val="24"/>
        </w:rPr>
        <w:t>VICUTU</w:t>
      </w:r>
      <w:r w:rsidR="003672D2">
        <w:rPr>
          <w:rFonts w:ascii="宋体" w:hAnsi="宋体"/>
          <w:sz w:val="24"/>
          <w:szCs w:val="24"/>
        </w:rPr>
        <w:t>-TI-JL-92-02</w:t>
      </w:r>
      <w:r>
        <w:rPr>
          <w:rFonts w:ascii="宋体" w:hAnsi="宋体"/>
          <w:sz w:val="24"/>
          <w:szCs w:val="24"/>
        </w:rPr>
        <w:t xml:space="preserve"> </w:t>
      </w:r>
      <w:r>
        <w:rPr>
          <w:rFonts w:ascii="宋体" w:hAnsi="宋体" w:hint="eastAsia"/>
          <w:sz w:val="24"/>
          <w:szCs w:val="24"/>
        </w:rPr>
        <w:t>两化融合</w:t>
      </w:r>
      <w:r>
        <w:rPr>
          <w:rFonts w:ascii="宋体" w:hAnsi="宋体" w:hint="eastAsia"/>
          <w:sz w:val="24"/>
          <w:szCs w:val="24"/>
        </w:rPr>
        <w:t>管理体系差距分析</w:t>
      </w:r>
      <w:r>
        <w:rPr>
          <w:rFonts w:ascii="宋体" w:hAnsi="宋体" w:hint="eastAsia"/>
          <w:sz w:val="24"/>
          <w:szCs w:val="24"/>
        </w:rPr>
        <w:t>报告</w:t>
      </w:r>
    </w:p>
    <w:p w:rsidR="00025DB1" w:rsidRDefault="00025DB1">
      <w:pPr>
        <w:spacing w:line="360" w:lineRule="auto"/>
        <w:ind w:firstLineChars="150" w:firstLine="360"/>
        <w:rPr>
          <w:rFonts w:ascii="宋体" w:hint="eastAsia"/>
          <w:sz w:val="24"/>
          <w:szCs w:val="24"/>
        </w:rPr>
      </w:pPr>
      <w:bookmarkStart w:id="2" w:name="_GoBack"/>
      <w:bookmarkEnd w:id="2"/>
    </w:p>
    <w:sectPr w:rsidR="00025DB1">
      <w:headerReference w:type="default" r:id="rId9"/>
      <w:pgSz w:w="11906" w:h="16838"/>
      <w:pgMar w:top="1440" w:right="1466" w:bottom="1440" w:left="1276"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412" w:rsidRDefault="00CD7412">
      <w:r>
        <w:separator/>
      </w:r>
    </w:p>
  </w:endnote>
  <w:endnote w:type="continuationSeparator" w:id="0">
    <w:p w:rsidR="00CD7412" w:rsidRDefault="00CD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412" w:rsidRDefault="00CD7412">
      <w:r>
        <w:separator/>
      </w:r>
    </w:p>
  </w:footnote>
  <w:footnote w:type="continuationSeparator" w:id="0">
    <w:p w:rsidR="00CD7412" w:rsidRDefault="00CD74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4A3" w:rsidRDefault="00E814A3">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544"/>
      <w:gridCol w:w="1275"/>
      <w:gridCol w:w="2127"/>
      <w:gridCol w:w="850"/>
      <w:gridCol w:w="709"/>
    </w:tblGrid>
    <w:tr w:rsidR="00E814A3">
      <w:trPr>
        <w:trHeight w:hRule="exact" w:val="537"/>
      </w:trPr>
      <w:tc>
        <w:tcPr>
          <w:tcW w:w="4537" w:type="dxa"/>
          <w:gridSpan w:val="2"/>
          <w:vAlign w:val="center"/>
        </w:tcPr>
        <w:p w:rsidR="00E814A3" w:rsidRDefault="00C1509F">
          <w:pPr>
            <w:ind w:right="1"/>
            <w:jc w:val="center"/>
            <w:rPr>
              <w:rFonts w:ascii="宋体"/>
              <w:b/>
              <w:bCs/>
              <w:sz w:val="24"/>
              <w:szCs w:val="24"/>
            </w:rPr>
          </w:pPr>
          <w:r>
            <w:rPr>
              <w:rFonts w:ascii="宋体" w:hAnsi="宋体" w:hint="eastAsia"/>
              <w:b/>
              <w:bCs/>
              <w:sz w:val="24"/>
              <w:szCs w:val="24"/>
            </w:rPr>
            <w:t>北京威克多制衣中心</w:t>
          </w:r>
          <w:r>
            <w:rPr>
              <w:rFonts w:ascii="宋体" w:hAnsi="宋体"/>
              <w:b/>
              <w:bCs/>
              <w:sz w:val="24"/>
              <w:szCs w:val="24"/>
            </w:rPr>
            <w:t>程序文件</w:t>
          </w:r>
        </w:p>
      </w:tc>
      <w:tc>
        <w:tcPr>
          <w:tcW w:w="1275" w:type="dxa"/>
          <w:vAlign w:val="center"/>
        </w:tcPr>
        <w:p w:rsidR="00E814A3" w:rsidRDefault="00C1509F">
          <w:pPr>
            <w:ind w:right="1"/>
            <w:jc w:val="center"/>
            <w:rPr>
              <w:rFonts w:ascii="宋体"/>
              <w:sz w:val="24"/>
              <w:szCs w:val="24"/>
            </w:rPr>
          </w:pPr>
          <w:r>
            <w:rPr>
              <w:rFonts w:ascii="宋体" w:hAnsi="宋体" w:hint="eastAsia"/>
              <w:sz w:val="24"/>
              <w:szCs w:val="24"/>
            </w:rPr>
            <w:t>文件编号</w:t>
          </w:r>
        </w:p>
      </w:tc>
      <w:tc>
        <w:tcPr>
          <w:tcW w:w="2127" w:type="dxa"/>
          <w:vAlign w:val="center"/>
        </w:tcPr>
        <w:p w:rsidR="00E814A3" w:rsidRDefault="00C1509F">
          <w:pPr>
            <w:ind w:right="1"/>
            <w:jc w:val="center"/>
            <w:rPr>
              <w:rFonts w:ascii="宋体" w:hAnsi="宋体"/>
              <w:b/>
              <w:sz w:val="24"/>
              <w:szCs w:val="24"/>
            </w:rPr>
          </w:pPr>
          <w:r>
            <w:rPr>
              <w:rFonts w:ascii="宋体" w:hAnsi="宋体" w:hint="eastAsia"/>
              <w:b/>
              <w:sz w:val="24"/>
              <w:szCs w:val="24"/>
            </w:rPr>
            <w:t>VICUTU</w:t>
          </w:r>
          <w:r>
            <w:rPr>
              <w:rFonts w:ascii="宋体" w:hAnsi="宋体"/>
              <w:b/>
              <w:sz w:val="24"/>
              <w:szCs w:val="24"/>
            </w:rPr>
            <w:t>-TI-92</w:t>
          </w:r>
          <w:r>
            <w:rPr>
              <w:rFonts w:ascii="宋体"/>
              <w:b/>
              <w:sz w:val="24"/>
              <w:szCs w:val="24"/>
            </w:rPr>
            <w:t>-0</w:t>
          </w:r>
          <w:r>
            <w:rPr>
              <w:rFonts w:ascii="宋体" w:hAnsi="宋体"/>
              <w:b/>
              <w:sz w:val="24"/>
              <w:szCs w:val="24"/>
            </w:rPr>
            <w:t>1</w:t>
          </w:r>
        </w:p>
      </w:tc>
      <w:tc>
        <w:tcPr>
          <w:tcW w:w="850" w:type="dxa"/>
          <w:vAlign w:val="center"/>
        </w:tcPr>
        <w:p w:rsidR="00E814A3" w:rsidRDefault="00C1509F">
          <w:pPr>
            <w:ind w:right="1"/>
            <w:jc w:val="center"/>
            <w:rPr>
              <w:rFonts w:ascii="宋体"/>
              <w:sz w:val="24"/>
              <w:szCs w:val="24"/>
            </w:rPr>
          </w:pPr>
          <w:r>
            <w:rPr>
              <w:rFonts w:ascii="宋体" w:hAnsi="宋体" w:hint="eastAsia"/>
              <w:sz w:val="24"/>
              <w:szCs w:val="24"/>
            </w:rPr>
            <w:t>版</w:t>
          </w:r>
          <w:r>
            <w:rPr>
              <w:rFonts w:ascii="宋体" w:hAnsi="宋体"/>
              <w:sz w:val="24"/>
              <w:szCs w:val="24"/>
            </w:rPr>
            <w:t xml:space="preserve"> </w:t>
          </w:r>
          <w:r>
            <w:rPr>
              <w:rFonts w:ascii="宋体" w:hAnsi="宋体" w:hint="eastAsia"/>
              <w:sz w:val="24"/>
              <w:szCs w:val="24"/>
            </w:rPr>
            <w:t>号</w:t>
          </w:r>
        </w:p>
      </w:tc>
      <w:tc>
        <w:tcPr>
          <w:tcW w:w="709" w:type="dxa"/>
          <w:vAlign w:val="center"/>
        </w:tcPr>
        <w:p w:rsidR="00E814A3" w:rsidRDefault="00C1509F">
          <w:pPr>
            <w:ind w:right="1"/>
            <w:jc w:val="center"/>
            <w:rPr>
              <w:rFonts w:ascii="宋体"/>
              <w:b/>
              <w:sz w:val="24"/>
              <w:szCs w:val="24"/>
            </w:rPr>
          </w:pPr>
          <w:r>
            <w:rPr>
              <w:rFonts w:ascii="宋体" w:hAnsi="宋体"/>
              <w:b/>
              <w:sz w:val="24"/>
              <w:szCs w:val="24"/>
            </w:rPr>
            <w:t>A</w:t>
          </w:r>
        </w:p>
      </w:tc>
    </w:tr>
    <w:tr w:rsidR="00E814A3">
      <w:trPr>
        <w:trHeight w:hRule="exact" w:val="537"/>
      </w:trPr>
      <w:tc>
        <w:tcPr>
          <w:tcW w:w="993" w:type="dxa"/>
          <w:vAlign w:val="center"/>
        </w:tcPr>
        <w:p w:rsidR="00E814A3" w:rsidRDefault="00C1509F">
          <w:pPr>
            <w:spacing w:line="360" w:lineRule="auto"/>
            <w:ind w:right="1"/>
            <w:jc w:val="center"/>
            <w:rPr>
              <w:rFonts w:ascii="宋体"/>
              <w:sz w:val="24"/>
              <w:szCs w:val="24"/>
            </w:rPr>
          </w:pPr>
          <w:r>
            <w:rPr>
              <w:rFonts w:ascii="宋体" w:hAnsi="宋体" w:hint="eastAsia"/>
              <w:sz w:val="24"/>
              <w:szCs w:val="24"/>
            </w:rPr>
            <w:t>标</w:t>
          </w:r>
          <w:r>
            <w:rPr>
              <w:rFonts w:ascii="宋体" w:hAnsi="宋体"/>
              <w:sz w:val="24"/>
              <w:szCs w:val="24"/>
            </w:rPr>
            <w:t xml:space="preserve">  </w:t>
          </w:r>
          <w:r>
            <w:rPr>
              <w:rFonts w:ascii="宋体" w:hAnsi="宋体" w:hint="eastAsia"/>
              <w:sz w:val="24"/>
              <w:szCs w:val="24"/>
            </w:rPr>
            <w:t>题</w:t>
          </w:r>
        </w:p>
      </w:tc>
      <w:tc>
        <w:tcPr>
          <w:tcW w:w="3544" w:type="dxa"/>
          <w:vAlign w:val="center"/>
        </w:tcPr>
        <w:p w:rsidR="00E814A3" w:rsidRDefault="00C1509F">
          <w:pPr>
            <w:ind w:right="1"/>
            <w:jc w:val="center"/>
            <w:rPr>
              <w:rFonts w:ascii="宋体"/>
              <w:b/>
              <w:bCs/>
              <w:sz w:val="24"/>
              <w:szCs w:val="24"/>
            </w:rPr>
          </w:pPr>
          <w:r>
            <w:rPr>
              <w:rFonts w:ascii="宋体" w:hAnsi="宋体" w:hint="eastAsia"/>
              <w:b/>
              <w:bCs/>
              <w:sz w:val="24"/>
              <w:szCs w:val="24"/>
            </w:rPr>
            <w:t>两化融合评估与诊断控制程序</w:t>
          </w:r>
        </w:p>
      </w:tc>
      <w:tc>
        <w:tcPr>
          <w:tcW w:w="1275" w:type="dxa"/>
          <w:vAlign w:val="center"/>
        </w:tcPr>
        <w:p w:rsidR="00E814A3" w:rsidRDefault="00C1509F">
          <w:pPr>
            <w:ind w:right="1"/>
            <w:jc w:val="center"/>
            <w:rPr>
              <w:rFonts w:ascii="宋体"/>
              <w:sz w:val="24"/>
              <w:szCs w:val="24"/>
            </w:rPr>
          </w:pPr>
          <w:r>
            <w:rPr>
              <w:rFonts w:ascii="宋体" w:hAnsi="宋体" w:hint="eastAsia"/>
              <w:sz w:val="24"/>
              <w:szCs w:val="24"/>
            </w:rPr>
            <w:t>生效日期</w:t>
          </w:r>
        </w:p>
      </w:tc>
      <w:tc>
        <w:tcPr>
          <w:tcW w:w="2127" w:type="dxa"/>
          <w:vAlign w:val="center"/>
        </w:tcPr>
        <w:p w:rsidR="00E814A3" w:rsidRDefault="00C1509F">
          <w:pPr>
            <w:ind w:right="1"/>
            <w:jc w:val="center"/>
            <w:rPr>
              <w:rFonts w:ascii="宋体"/>
              <w:b/>
              <w:sz w:val="24"/>
              <w:szCs w:val="24"/>
            </w:rPr>
          </w:pPr>
          <w:r>
            <w:rPr>
              <w:rFonts w:ascii="宋体" w:hAnsi="宋体"/>
              <w:b/>
              <w:sz w:val="24"/>
            </w:rPr>
            <w:t>201</w:t>
          </w:r>
          <w:r>
            <w:rPr>
              <w:rFonts w:ascii="宋体" w:hAnsi="宋体" w:hint="eastAsia"/>
              <w:b/>
              <w:sz w:val="24"/>
            </w:rPr>
            <w:t>7</w:t>
          </w:r>
          <w:r>
            <w:rPr>
              <w:rFonts w:ascii="宋体" w:hAnsi="宋体"/>
              <w:b/>
              <w:sz w:val="24"/>
            </w:rPr>
            <w:t>/8/31</w:t>
          </w:r>
        </w:p>
      </w:tc>
      <w:tc>
        <w:tcPr>
          <w:tcW w:w="850" w:type="dxa"/>
          <w:vAlign w:val="center"/>
        </w:tcPr>
        <w:p w:rsidR="00E814A3" w:rsidRDefault="00C1509F">
          <w:pPr>
            <w:ind w:right="1"/>
            <w:jc w:val="center"/>
            <w:rPr>
              <w:rFonts w:ascii="宋体"/>
              <w:sz w:val="24"/>
              <w:szCs w:val="24"/>
            </w:rPr>
          </w:pPr>
          <w:r>
            <w:rPr>
              <w:rFonts w:ascii="宋体" w:hAnsi="宋体" w:hint="eastAsia"/>
              <w:sz w:val="24"/>
              <w:szCs w:val="24"/>
            </w:rPr>
            <w:t>页</w:t>
          </w:r>
          <w:r>
            <w:rPr>
              <w:rFonts w:ascii="宋体" w:hAnsi="宋体"/>
              <w:sz w:val="24"/>
              <w:szCs w:val="24"/>
            </w:rPr>
            <w:t xml:space="preserve"> </w:t>
          </w:r>
          <w:r>
            <w:rPr>
              <w:rFonts w:ascii="宋体" w:hAnsi="宋体" w:hint="eastAsia"/>
              <w:sz w:val="24"/>
              <w:szCs w:val="24"/>
            </w:rPr>
            <w:t>次</w:t>
          </w:r>
        </w:p>
      </w:tc>
      <w:tc>
        <w:tcPr>
          <w:tcW w:w="709" w:type="dxa"/>
          <w:vAlign w:val="center"/>
        </w:tcPr>
        <w:p w:rsidR="00E814A3" w:rsidRDefault="00CD7412">
          <w:pPr>
            <w:ind w:right="1"/>
            <w:jc w:val="center"/>
            <w:rPr>
              <w:rFonts w:ascii="宋体"/>
              <w:b/>
              <w:sz w:val="24"/>
              <w:szCs w:val="24"/>
            </w:rPr>
          </w:pPr>
          <w:r>
            <w:rPr>
              <w:sz w:val="24"/>
            </w:rPr>
            <w:pict>
              <v:shapetype id="_x0000_t202" coordsize="21600,21600" o:spt="202" path="m,l,21600r21600,l21600,xe">
                <v:stroke joinstyle="miter"/>
                <v:path gradientshapeok="t" o:connecttype="rect"/>
              </v:shapetype>
              <v:shape id="_x0000_s2049" type="#_x0000_t202" style="position:absolute;left:0;text-align:left;margin-left:3.25pt;margin-top:4.75pt;width:2in;height:16.8pt;z-index:1;mso-wrap-style:none;mso-wrap-distance-left:9pt;mso-wrap-distance-top:0;mso-wrap-distance-right:9pt;mso-wrap-distance-bottom:0;mso-position-horizontal-relative:margin;mso-position-vertical-relative:text;mso-width-relative:page;mso-height-relative:page" filled="f" stroked="f">
                <v:textbox inset="0,0,0,0">
                  <w:txbxContent>
                    <w:p w:rsidR="00E814A3" w:rsidRDefault="00C1509F">
                      <w:pPr>
                        <w:ind w:right="1"/>
                        <w:jc w:val="center"/>
                      </w:pPr>
                      <w:r>
                        <w:rPr>
                          <w:rFonts w:ascii="宋体" w:hAnsi="宋体"/>
                          <w:b/>
                          <w:sz w:val="24"/>
                          <w:szCs w:val="24"/>
                        </w:rPr>
                        <w:fldChar w:fldCharType="begin"/>
                      </w:r>
                      <w:r>
                        <w:rPr>
                          <w:rFonts w:ascii="宋体" w:hAnsi="宋体"/>
                          <w:b/>
                          <w:sz w:val="24"/>
                          <w:szCs w:val="24"/>
                        </w:rPr>
                        <w:instrText xml:space="preserve"> PAGE  \* Arabic  \* MERGEFORMAT </w:instrText>
                      </w:r>
                      <w:r>
                        <w:rPr>
                          <w:rFonts w:ascii="宋体" w:hAnsi="宋体"/>
                          <w:b/>
                          <w:sz w:val="24"/>
                          <w:szCs w:val="24"/>
                        </w:rPr>
                        <w:fldChar w:fldCharType="separate"/>
                      </w:r>
                      <w:r w:rsidR="003917CD">
                        <w:rPr>
                          <w:rFonts w:ascii="宋体" w:hAnsi="宋体"/>
                          <w:b/>
                          <w:noProof/>
                          <w:sz w:val="24"/>
                          <w:szCs w:val="24"/>
                        </w:rPr>
                        <w:t>3</w:t>
                      </w:r>
                      <w:r>
                        <w:rPr>
                          <w:rFonts w:ascii="宋体" w:hAnsi="宋体"/>
                          <w:b/>
                          <w:sz w:val="24"/>
                          <w:szCs w:val="24"/>
                        </w:rPr>
                        <w:fldChar w:fldCharType="end"/>
                      </w:r>
                      <w:r>
                        <w:rPr>
                          <w:rFonts w:ascii="宋体" w:hAnsi="宋体"/>
                          <w:b/>
                          <w:sz w:val="24"/>
                          <w:szCs w:val="24"/>
                        </w:rPr>
                        <w:t>/3</w:t>
                      </w:r>
                    </w:p>
                  </w:txbxContent>
                </v:textbox>
                <w10:wrap type="square" anchorx="margin"/>
              </v:shape>
            </w:pict>
          </w:r>
        </w:p>
      </w:tc>
    </w:tr>
  </w:tbl>
  <w:p w:rsidR="00E814A3" w:rsidRDefault="00E814A3">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0D0A"/>
    <w:rsid w:val="000212C9"/>
    <w:rsid w:val="00025DB1"/>
    <w:rsid w:val="000A178D"/>
    <w:rsid w:val="0010606B"/>
    <w:rsid w:val="00111C39"/>
    <w:rsid w:val="00260D0A"/>
    <w:rsid w:val="003672D2"/>
    <w:rsid w:val="003917CD"/>
    <w:rsid w:val="003A1A8E"/>
    <w:rsid w:val="003A1C3D"/>
    <w:rsid w:val="003A4028"/>
    <w:rsid w:val="003A7B02"/>
    <w:rsid w:val="003C217D"/>
    <w:rsid w:val="0042254D"/>
    <w:rsid w:val="00436514"/>
    <w:rsid w:val="00441476"/>
    <w:rsid w:val="0044780C"/>
    <w:rsid w:val="00461A12"/>
    <w:rsid w:val="0046369E"/>
    <w:rsid w:val="004647D2"/>
    <w:rsid w:val="005063DD"/>
    <w:rsid w:val="005A774D"/>
    <w:rsid w:val="006515CB"/>
    <w:rsid w:val="0065165B"/>
    <w:rsid w:val="006B4EB8"/>
    <w:rsid w:val="006D6F9A"/>
    <w:rsid w:val="007264D9"/>
    <w:rsid w:val="00742AD9"/>
    <w:rsid w:val="00763875"/>
    <w:rsid w:val="007F0A8A"/>
    <w:rsid w:val="0081771E"/>
    <w:rsid w:val="00827512"/>
    <w:rsid w:val="00911457"/>
    <w:rsid w:val="00970644"/>
    <w:rsid w:val="00A24EFE"/>
    <w:rsid w:val="00A81BAE"/>
    <w:rsid w:val="00A8638D"/>
    <w:rsid w:val="00AC6C05"/>
    <w:rsid w:val="00B1723D"/>
    <w:rsid w:val="00B63B25"/>
    <w:rsid w:val="00B8117C"/>
    <w:rsid w:val="00BA05E8"/>
    <w:rsid w:val="00BF1AC6"/>
    <w:rsid w:val="00C1509F"/>
    <w:rsid w:val="00CC7B7A"/>
    <w:rsid w:val="00CD48FE"/>
    <w:rsid w:val="00CD7412"/>
    <w:rsid w:val="00CE7FFD"/>
    <w:rsid w:val="00E05F7B"/>
    <w:rsid w:val="00E100C9"/>
    <w:rsid w:val="00E26DD5"/>
    <w:rsid w:val="00E814A3"/>
    <w:rsid w:val="00E87835"/>
    <w:rsid w:val="00E96959"/>
    <w:rsid w:val="00EB3F97"/>
    <w:rsid w:val="00EB6A41"/>
    <w:rsid w:val="00EF2F74"/>
    <w:rsid w:val="00F903BB"/>
    <w:rsid w:val="00FC2BFF"/>
    <w:rsid w:val="57A96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0C15F791-8C9E-417D-A407-1A1471E5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黑体"/>
      <w:kern w:val="2"/>
      <w:sz w:val="21"/>
      <w:szCs w:val="22"/>
    </w:rPr>
  </w:style>
  <w:style w:type="paragraph" w:styleId="2">
    <w:name w:val="heading 2"/>
    <w:basedOn w:val="a"/>
    <w:next w:val="a"/>
    <w:link w:val="2Char"/>
    <w:uiPriority w:val="99"/>
    <w:qFormat/>
    <w:pPr>
      <w:keepNext/>
      <w:keepLines/>
      <w:spacing w:before="260" w:after="260" w:line="416" w:lineRule="auto"/>
      <w:outlineLvl w:val="1"/>
    </w:pPr>
    <w:rPr>
      <w:rFonts w:ascii="Calibri Light" w:hAnsi="Calibri Light"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Pr>
      <w:rFonts w:ascii="宋体"/>
      <w:sz w:val="18"/>
      <w:szCs w:val="18"/>
    </w:rPr>
  </w:style>
  <w:style w:type="paragraph" w:styleId="a4">
    <w:name w:val="footer"/>
    <w:basedOn w:val="a"/>
    <w:link w:val="Char0"/>
    <w:uiPriority w:val="99"/>
    <w:pPr>
      <w:tabs>
        <w:tab w:val="center" w:pos="4153"/>
        <w:tab w:val="right" w:pos="8306"/>
      </w:tabs>
      <w:snapToGrid w:val="0"/>
      <w:jc w:val="left"/>
    </w:pPr>
    <w:rPr>
      <w:rFonts w:cs="Times New Roman"/>
      <w:kern w:val="0"/>
      <w:sz w:val="18"/>
      <w:szCs w:val="18"/>
    </w:rPr>
  </w:style>
  <w:style w:type="paragraph" w:styleId="a5">
    <w:name w:val="header"/>
    <w:basedOn w:val="a"/>
    <w:link w:val="Char1"/>
    <w:uiPriority w:val="99"/>
    <w:pPr>
      <w:pBdr>
        <w:bottom w:val="single" w:sz="6" w:space="1" w:color="auto"/>
      </w:pBdr>
      <w:tabs>
        <w:tab w:val="center" w:pos="4153"/>
        <w:tab w:val="right" w:pos="8306"/>
      </w:tabs>
      <w:snapToGrid w:val="0"/>
      <w:jc w:val="center"/>
    </w:pPr>
    <w:rPr>
      <w:rFonts w:cs="Times New Roman"/>
      <w:kern w:val="0"/>
      <w:sz w:val="18"/>
      <w:szCs w:val="18"/>
    </w:rPr>
  </w:style>
  <w:style w:type="character" w:customStyle="1" w:styleId="2Char">
    <w:name w:val="标题 2 Char"/>
    <w:link w:val="2"/>
    <w:uiPriority w:val="99"/>
    <w:locked/>
    <w:rPr>
      <w:rFonts w:ascii="Calibri Light" w:eastAsia="宋体" w:hAnsi="Calibri Light" w:cs="黑体"/>
      <w:b/>
      <w:bCs/>
      <w:sz w:val="32"/>
      <w:szCs w:val="32"/>
    </w:rPr>
  </w:style>
  <w:style w:type="character" w:customStyle="1" w:styleId="Char1">
    <w:name w:val="页眉 Char"/>
    <w:link w:val="a5"/>
    <w:uiPriority w:val="99"/>
    <w:locked/>
    <w:rPr>
      <w:rFonts w:cs="Times New Roman"/>
      <w:sz w:val="18"/>
      <w:szCs w:val="18"/>
    </w:rPr>
  </w:style>
  <w:style w:type="character" w:customStyle="1" w:styleId="Char0">
    <w:name w:val="页脚 Char"/>
    <w:link w:val="a4"/>
    <w:uiPriority w:val="99"/>
    <w:locked/>
    <w:rPr>
      <w:rFonts w:cs="Times New Roman"/>
      <w:sz w:val="18"/>
      <w:szCs w:val="18"/>
    </w:rPr>
  </w:style>
  <w:style w:type="character" w:customStyle="1" w:styleId="Char">
    <w:name w:val="文档结构图 Char"/>
    <w:link w:val="a3"/>
    <w:uiPriority w:val="99"/>
    <w:semiHidden/>
    <w:rPr>
      <w:rFonts w:ascii="宋体" w:cs="黑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222</Words>
  <Characters>1269</Characters>
  <Application>Microsoft Office Word</Application>
  <DocSecurity>0</DocSecurity>
  <Lines>10</Lines>
  <Paragraphs>2</Paragraphs>
  <ScaleCrop>false</ScaleCrop>
  <Company>江苏赛联</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IRIS</cp:lastModifiedBy>
  <cp:revision>30</cp:revision>
  <cp:lastPrinted>2017-01-22T07:54:00Z</cp:lastPrinted>
  <dcterms:created xsi:type="dcterms:W3CDTF">2016-10-26T07:48:00Z</dcterms:created>
  <dcterms:modified xsi:type="dcterms:W3CDTF">2018-04-19T04:50:00Z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